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D7" w:rsidRDefault="00B44410" w:rsidP="00B152D7">
      <w:pPr>
        <w:pStyle w:val="NormalnyWeb"/>
        <w:spacing w:before="0" w:beforeAutospacing="0" w:after="0" w:afterAutospacing="0" w:line="270" w:lineRule="atLeast"/>
        <w:jc w:val="center"/>
        <w:rPr>
          <w:rStyle w:val="Pogrubienie"/>
          <w:b w:val="0"/>
        </w:rPr>
      </w:pPr>
      <w:r w:rsidRPr="00B44410">
        <w:rPr>
          <w:rStyle w:val="Pogrubienie"/>
          <w:b w:val="0"/>
        </w:rPr>
        <w:tab/>
      </w:r>
      <w:r w:rsidRPr="00B44410">
        <w:rPr>
          <w:rStyle w:val="Pogrubienie"/>
          <w:b w:val="0"/>
        </w:rPr>
        <w:tab/>
      </w:r>
      <w:r w:rsidRPr="00B44410">
        <w:rPr>
          <w:rStyle w:val="Pogrubienie"/>
          <w:b w:val="0"/>
        </w:rPr>
        <w:tab/>
      </w:r>
      <w:r w:rsidRPr="00B44410">
        <w:rPr>
          <w:rStyle w:val="Pogrubienie"/>
          <w:b w:val="0"/>
        </w:rPr>
        <w:tab/>
      </w:r>
      <w:r w:rsidRPr="00B44410"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 w:rsidRPr="00B44410">
        <w:rPr>
          <w:rStyle w:val="Pogrubienie"/>
          <w:b w:val="0"/>
        </w:rPr>
        <w:t xml:space="preserve">Hrubieszów, dn. </w:t>
      </w:r>
      <w:r w:rsidR="00673AF3">
        <w:rPr>
          <w:rStyle w:val="Pogrubienie"/>
          <w:b w:val="0"/>
        </w:rPr>
        <w:t>22</w:t>
      </w:r>
      <w:r>
        <w:rPr>
          <w:rStyle w:val="Pogrubienie"/>
          <w:b w:val="0"/>
        </w:rPr>
        <w:t>.02.2017 r.</w:t>
      </w:r>
    </w:p>
    <w:p w:rsidR="00B152D7" w:rsidRDefault="00B152D7" w:rsidP="00B152D7">
      <w:pPr>
        <w:pStyle w:val="NormalnyWeb"/>
        <w:spacing w:before="0" w:beforeAutospacing="0" w:after="0" w:afterAutospacing="0" w:line="270" w:lineRule="atLeast"/>
        <w:rPr>
          <w:rStyle w:val="Pogrubienie"/>
          <w:b w:val="0"/>
        </w:rPr>
      </w:pPr>
      <w:r>
        <w:rPr>
          <w:rStyle w:val="Pogrubienie"/>
          <w:b w:val="0"/>
        </w:rPr>
        <w:t>RIPG.042.1.1.2017</w:t>
      </w:r>
    </w:p>
    <w:p w:rsidR="00B44410" w:rsidRPr="00B44410" w:rsidRDefault="00B44410" w:rsidP="003B402E">
      <w:pPr>
        <w:pStyle w:val="NormalnyWeb"/>
        <w:spacing w:before="0" w:beforeAutospacing="0" w:after="0" w:afterAutospacing="0" w:line="270" w:lineRule="atLeast"/>
        <w:jc w:val="center"/>
        <w:rPr>
          <w:rStyle w:val="Pogrubienie"/>
          <w:b w:val="0"/>
        </w:rPr>
      </w:pPr>
    </w:p>
    <w:p w:rsidR="00B44410" w:rsidRDefault="00B44410" w:rsidP="003B402E">
      <w:pPr>
        <w:pStyle w:val="NormalnyWeb"/>
        <w:spacing w:before="0" w:beforeAutospacing="0" w:after="0" w:afterAutospacing="0" w:line="270" w:lineRule="atLeast"/>
        <w:jc w:val="center"/>
        <w:rPr>
          <w:rStyle w:val="Pogrubienie"/>
        </w:rPr>
      </w:pPr>
    </w:p>
    <w:p w:rsidR="003B402E" w:rsidRPr="00DA5DE2" w:rsidRDefault="003B402E" w:rsidP="003B402E">
      <w:pPr>
        <w:pStyle w:val="NormalnyWeb"/>
        <w:spacing w:before="0" w:beforeAutospacing="0" w:after="0" w:afterAutospacing="0" w:line="270" w:lineRule="atLeast"/>
        <w:jc w:val="center"/>
        <w:rPr>
          <w:rStyle w:val="Pogrubienie"/>
        </w:rPr>
      </w:pPr>
      <w:r w:rsidRPr="00DA5DE2">
        <w:rPr>
          <w:rStyle w:val="Pogrubienie"/>
        </w:rPr>
        <w:t>OGŁOSZENIE</w:t>
      </w:r>
    </w:p>
    <w:p w:rsidR="003B402E" w:rsidRPr="00DA5DE2" w:rsidRDefault="003B402E" w:rsidP="003B402E">
      <w:pPr>
        <w:pStyle w:val="NormalnyWeb"/>
        <w:spacing w:before="0" w:beforeAutospacing="0" w:after="0" w:afterAutospacing="0" w:line="270" w:lineRule="atLeast"/>
        <w:jc w:val="center"/>
        <w:rPr>
          <w:b/>
        </w:rPr>
      </w:pPr>
      <w:r w:rsidRPr="00DA5DE2">
        <w:rPr>
          <w:b/>
        </w:rPr>
        <w:t xml:space="preserve">o zamówieniu </w:t>
      </w:r>
      <w:r w:rsidR="00750E9E">
        <w:rPr>
          <w:b/>
        </w:rPr>
        <w:t xml:space="preserve">o wartości </w:t>
      </w:r>
      <w:r w:rsidRPr="00DA5DE2">
        <w:rPr>
          <w:b/>
        </w:rPr>
        <w:t>poniżej 30 tys. euro</w:t>
      </w:r>
    </w:p>
    <w:p w:rsidR="003B402E" w:rsidRPr="00DA5DE2" w:rsidRDefault="003B402E" w:rsidP="003B402E">
      <w:pPr>
        <w:pStyle w:val="NormalnyWeb"/>
        <w:spacing w:before="0" w:beforeAutospacing="0" w:after="0" w:afterAutospacing="0" w:line="270" w:lineRule="atLeast"/>
        <w:jc w:val="center"/>
        <w:rPr>
          <w:b/>
        </w:rPr>
      </w:pPr>
      <w:r w:rsidRPr="00DA5DE2">
        <w:rPr>
          <w:b/>
        </w:rPr>
        <w:t>na wykonanie dokumentacji projektowej</w:t>
      </w:r>
    </w:p>
    <w:p w:rsidR="003B402E" w:rsidRPr="00DA5DE2" w:rsidRDefault="003B402E" w:rsidP="00A83706">
      <w:pPr>
        <w:pStyle w:val="NormalnyWeb"/>
        <w:spacing w:line="270" w:lineRule="atLeast"/>
      </w:pPr>
    </w:p>
    <w:p w:rsidR="003B402E" w:rsidRPr="00DA5DE2" w:rsidRDefault="003B402E" w:rsidP="003B402E">
      <w:pPr>
        <w:pStyle w:val="NormalnyWeb"/>
        <w:spacing w:line="270" w:lineRule="atLeast"/>
        <w:jc w:val="both"/>
      </w:pPr>
      <w:r w:rsidRPr="00DA5DE2">
        <w:t xml:space="preserve">Gmina Hrubieszów informuje, że są przyjmowane oferty na wykonanie zamówienia pn.: </w:t>
      </w:r>
      <w:r w:rsidRPr="002855DC">
        <w:rPr>
          <w:rStyle w:val="Pogrubienie"/>
        </w:rPr>
        <w:t>Wykonanie dokumentacji projektowej</w:t>
      </w:r>
      <w:r w:rsidR="00A83706" w:rsidRPr="002855DC">
        <w:rPr>
          <w:rStyle w:val="Pogrubienie"/>
        </w:rPr>
        <w:t xml:space="preserve"> w ramach</w:t>
      </w:r>
      <w:r w:rsidRPr="002855DC">
        <w:rPr>
          <w:rStyle w:val="Pogrubienie"/>
        </w:rPr>
        <w:t xml:space="preserve"> </w:t>
      </w:r>
      <w:r w:rsidR="00A83706" w:rsidRPr="002855DC">
        <w:rPr>
          <w:rStyle w:val="Pogrubienie"/>
        </w:rPr>
        <w:t>projektu „Zmniejszenie presji na gatunki i siedliska poprzez kanalizację ruchu turystycznego na obszarze Błoni Nadbużańskich</w:t>
      </w:r>
      <w:r w:rsidRPr="002855DC">
        <w:t>”</w:t>
      </w:r>
      <w:r w:rsidR="00E33000">
        <w:t>.</w:t>
      </w:r>
    </w:p>
    <w:p w:rsidR="00A42C1E" w:rsidRPr="00DA5DE2" w:rsidRDefault="003B402E" w:rsidP="003B402E">
      <w:pPr>
        <w:pStyle w:val="NormalnyWeb"/>
        <w:spacing w:line="270" w:lineRule="atLeast"/>
        <w:jc w:val="both"/>
        <w:rPr>
          <w:b/>
        </w:rPr>
      </w:pPr>
      <w:r w:rsidRPr="00DA5DE2">
        <w:rPr>
          <w:b/>
        </w:rPr>
        <w:t xml:space="preserve">1. </w:t>
      </w:r>
      <w:r w:rsidR="00A42C1E" w:rsidRPr="00DA5DE2">
        <w:rPr>
          <w:b/>
        </w:rPr>
        <w:t>Przedmiot zamówienia:</w:t>
      </w:r>
    </w:p>
    <w:p w:rsidR="00A83706" w:rsidRPr="00DA5DE2" w:rsidRDefault="00A83706" w:rsidP="00F94A79">
      <w:pPr>
        <w:pStyle w:val="NormalnyWeb"/>
        <w:spacing w:before="0" w:beforeAutospacing="0" w:after="0" w:afterAutospacing="0" w:line="270" w:lineRule="atLeast"/>
        <w:jc w:val="both"/>
      </w:pPr>
      <w:r w:rsidRPr="00DA5DE2">
        <w:t>Pra</w:t>
      </w:r>
      <w:r w:rsidR="003D637A">
        <w:t>ce  polegać będą na wykonaniu niżej</w:t>
      </w:r>
      <w:r w:rsidRPr="00DA5DE2">
        <w:t xml:space="preserve"> wymienionych odrębnych części dokumentacji projektowej obejmujących następujące elementy:</w:t>
      </w:r>
    </w:p>
    <w:p w:rsidR="00A83706" w:rsidRPr="00DA5DE2" w:rsidRDefault="00A83706" w:rsidP="00F94A79">
      <w:pPr>
        <w:pStyle w:val="NormalnyWeb"/>
        <w:spacing w:before="0" w:beforeAutospacing="0" w:after="0" w:afterAutospacing="0" w:line="270" w:lineRule="atLeast"/>
        <w:jc w:val="both"/>
      </w:pPr>
      <w:r w:rsidRPr="00DA5DE2">
        <w:t>- projekt budowlany obejmujący projekt zagospodarow</w:t>
      </w:r>
      <w:r w:rsidR="00F94A79">
        <w:t>ania terenu i projekt budowlano-</w:t>
      </w:r>
      <w:r w:rsidRPr="00DA5DE2">
        <w:t>wykona</w:t>
      </w:r>
      <w:r w:rsidR="00F94A79">
        <w:t>wczy lub projekt do zgłoszenia,</w:t>
      </w:r>
    </w:p>
    <w:p w:rsidR="00A83706" w:rsidRPr="00DA5DE2" w:rsidRDefault="00A83706" w:rsidP="00F94A79">
      <w:pPr>
        <w:pStyle w:val="NormalnyWeb"/>
        <w:spacing w:before="0" w:beforeAutospacing="0" w:after="0" w:afterAutospacing="0" w:line="270" w:lineRule="atLeast"/>
        <w:jc w:val="both"/>
      </w:pPr>
      <w:r w:rsidRPr="00DA5DE2">
        <w:t>- prz</w:t>
      </w:r>
      <w:r w:rsidR="00E33000">
        <w:t>edmiary i kosztorys inwestorski,</w:t>
      </w:r>
    </w:p>
    <w:p w:rsidR="00A83706" w:rsidRPr="00DA5DE2" w:rsidRDefault="00A83706" w:rsidP="00F94A79">
      <w:pPr>
        <w:pStyle w:val="NormalnyWeb"/>
        <w:spacing w:before="0" w:beforeAutospacing="0" w:after="240" w:afterAutospacing="0" w:line="270" w:lineRule="atLeast"/>
        <w:jc w:val="both"/>
      </w:pPr>
      <w:r w:rsidRPr="00DA5DE2">
        <w:t>-  specyfikacje techniczne</w:t>
      </w:r>
      <w:r w:rsidR="00F94A79">
        <w:t xml:space="preserve"> wykonania i odbioru robót budowlanych</w:t>
      </w:r>
      <w:r w:rsidR="00E33000">
        <w:t>.</w:t>
      </w:r>
    </w:p>
    <w:p w:rsidR="00A83706" w:rsidRPr="00DA5DE2" w:rsidRDefault="00A83706" w:rsidP="00A83706">
      <w:pPr>
        <w:pStyle w:val="NormalnyWeb"/>
        <w:spacing w:line="270" w:lineRule="atLeast"/>
        <w:jc w:val="both"/>
      </w:pPr>
      <w:r w:rsidRPr="00DA5DE2">
        <w:t>1.1.</w:t>
      </w:r>
      <w:r w:rsidRPr="00DA5DE2">
        <w:tab/>
        <w:t xml:space="preserve">Odtworzenie elementów ścieżki historyczno-przyrodniczej „Królewski Kąt”. </w:t>
      </w:r>
    </w:p>
    <w:p w:rsidR="003447F8" w:rsidRDefault="00A83706" w:rsidP="00A83706">
      <w:pPr>
        <w:pStyle w:val="NormalnyWeb"/>
        <w:spacing w:line="270" w:lineRule="atLeast"/>
        <w:jc w:val="both"/>
      </w:pPr>
      <w:r w:rsidRPr="00DA5DE2">
        <w:t xml:space="preserve">W ramach niniejszego zadania przewiduje się odtworzenie elementów ścieżki, która została wyznaczona i oznakowana przed kilkunastu laty na terenie miejscowości Gródek i Czumów. W ramach projektu ma zostać wykonanych i ustawionych w terenie 7 nowych tablic informacyjnych zwieńczonych daszkiem drewnianym (na </w:t>
      </w:r>
      <w:r w:rsidR="001E021C">
        <w:t>działkach w Gródku: 55, 197, 227</w:t>
      </w:r>
      <w:r w:rsidRPr="00DA5DE2">
        <w:t xml:space="preserve">, 252, 615 oraz dwie w Czumowie: 96). Przy tablicach powinny zostać ustawione ławki o długości ok. 2,50 </w:t>
      </w:r>
      <w:r w:rsidR="00750E9E">
        <w:t>m</w:t>
      </w:r>
      <w:r w:rsidRPr="00DA5DE2">
        <w:t xml:space="preserve"> (</w:t>
      </w:r>
      <w:r w:rsidR="0085524F">
        <w:t xml:space="preserve">po </w:t>
      </w:r>
      <w:r w:rsidRPr="00DA5DE2">
        <w:t>1szt) i kosze na śmieci, elementy mogą być połą</w:t>
      </w:r>
      <w:r w:rsidR="00750E9E">
        <w:t xml:space="preserve">czone i wykonane jako całość (7 </w:t>
      </w:r>
      <w:proofErr w:type="spellStart"/>
      <w:r w:rsidR="00750E9E">
        <w:t>kpl</w:t>
      </w:r>
      <w:proofErr w:type="spellEnd"/>
      <w:r w:rsidR="00750E9E">
        <w:t>.</w:t>
      </w:r>
      <w:r w:rsidRPr="00DA5DE2">
        <w:t>). Niemal wszystkie elementy powinny zostać wykonane z drewna (poza planszami tablic). Na przebiegu ścieżki, głównie w pasach dróg (działki w Gródku nr: 55, 2, 1, 194, 252, 615 oraz w Czumowie nr: 96) zostaną ustawione słupki</w:t>
      </w:r>
      <w:r w:rsidR="00777F13">
        <w:t xml:space="preserve"> ze znakami</w:t>
      </w:r>
      <w:r w:rsidR="00750E9E">
        <w:t xml:space="preserve"> kierunkowymi (16 </w:t>
      </w:r>
      <w:r w:rsidRPr="00DA5DE2">
        <w:t xml:space="preserve">szt.) wskazującymi obydwa kierunki poruszania się po trasie. Wielkość tablic, miejsce i sposób ich ustawienia powinny być tak zaplanowane aby nie przysłaniały obiektów zabytkowych i nie stanowiły dominant terenowych. Rysunki tablic wraz z tekstem plansz oraz pozostałych elementów małej architektury powinny znaleźć się w projekcie wykonawczym. </w:t>
      </w:r>
      <w:r w:rsidR="003447F8" w:rsidRPr="00655139">
        <w:t>Wzory plansz wraz z tekstem zostaną przekazane Wykonawcy projektu przez inwestora na etapie opracowywania projektu.</w:t>
      </w:r>
      <w:r w:rsidR="003447F8">
        <w:t xml:space="preserve"> </w:t>
      </w:r>
    </w:p>
    <w:p w:rsidR="000750AD" w:rsidRPr="00DA5DE2" w:rsidRDefault="00A83706" w:rsidP="00A83706">
      <w:pPr>
        <w:pStyle w:val="NormalnyWeb"/>
        <w:spacing w:line="270" w:lineRule="atLeast"/>
        <w:jc w:val="both"/>
      </w:pPr>
      <w:r w:rsidRPr="00DA5DE2">
        <w:lastRenderedPageBreak/>
        <w:t>Opracowanie będzie wymagać uzyskania zgody wojewódzkiego konserwatora zabytków, stosownie do zaopiniowanej koncepcji projektu znajdującej się w posiadaniu inwestora. Orientacyjna lokalizacja elementów ścieżki znajduje się na załączniku graficznym u inwestora.</w:t>
      </w:r>
    </w:p>
    <w:p w:rsidR="00A83706" w:rsidRPr="00DA5DE2" w:rsidRDefault="00A83706" w:rsidP="00A83706">
      <w:pPr>
        <w:pStyle w:val="NormalnyWeb"/>
        <w:spacing w:line="270" w:lineRule="atLeast"/>
        <w:jc w:val="both"/>
      </w:pPr>
      <w:r w:rsidRPr="00DA5DE2">
        <w:t>1.2.</w:t>
      </w:r>
      <w:r w:rsidRPr="00DA5DE2">
        <w:tab/>
        <w:t>Utrzymanie przejezdności tras turystycznych.</w:t>
      </w:r>
    </w:p>
    <w:p w:rsidR="00A83706" w:rsidRPr="00DA5DE2" w:rsidRDefault="00A83706" w:rsidP="00A83706">
      <w:pPr>
        <w:pStyle w:val="NormalnyWeb"/>
        <w:spacing w:line="270" w:lineRule="atLeast"/>
        <w:jc w:val="both"/>
      </w:pPr>
      <w:r w:rsidRPr="00DA5DE2">
        <w:t>Zadanie przewiduje remont drewnianego mostu na działce nr 10 w Gródku przebiegającego nad rzeką Huczwa (działka nr 2). Wymiary mostu przed remontem mierzone po pokładzie wynoszą; szer. 5,20</w:t>
      </w:r>
      <w:r w:rsidR="00750E9E">
        <w:t xml:space="preserve"> </w:t>
      </w:r>
      <w:r w:rsidRPr="00DA5DE2">
        <w:t>m. dł. 31,60</w:t>
      </w:r>
      <w:r w:rsidR="00750E9E">
        <w:t xml:space="preserve"> </w:t>
      </w:r>
      <w:r w:rsidRPr="00DA5DE2">
        <w:t>m. Prace związane z remontem mostu na rzece Huczwa w Gródku polegać będą na wymianie uszkodzonego pokładu dolnego i pokładu górnego z bali drewnianych. Wymienione zostaną także drewniane balustrady. Po uprzedniej rozbiórce dotychczasowych elementów wykonana zostanie nowa opaska przy słupkach i belka oporowa. Przeprowadzony zostanie remont podpór – przyczółków i jarzma środkowego, poprzez wzmocnienie istniejących elementów, zapobiegające dalszej degradacji. Na istniejących belkach stalowych zostanie odnowiona powłoka malarska, a drewniane elementy zostaną zaimpregnowane środkami ekologicznymi.</w:t>
      </w:r>
    </w:p>
    <w:p w:rsidR="00A83706" w:rsidRPr="00DA5DE2" w:rsidRDefault="00A83706" w:rsidP="00A83706">
      <w:pPr>
        <w:pStyle w:val="NormalnyWeb"/>
        <w:spacing w:line="270" w:lineRule="atLeast"/>
        <w:jc w:val="both"/>
      </w:pPr>
      <w:r w:rsidRPr="00DA5DE2">
        <w:t xml:space="preserve">Oprócz tego zakłada się remont dwóch </w:t>
      </w:r>
      <w:r w:rsidR="00750E9E">
        <w:t>mostów</w:t>
      </w:r>
      <w:r w:rsidRPr="00DA5DE2">
        <w:t xml:space="preserve"> na lokalnych ciekach wodnych na działce nr 257 w Teptiukowie o wymiarach przed remontem mierzone po pokładzie; szer.</w:t>
      </w:r>
      <w:r w:rsidR="001967AC">
        <w:t xml:space="preserve"> </w:t>
      </w:r>
      <w:r w:rsidRPr="00DA5DE2">
        <w:t>5,70</w:t>
      </w:r>
      <w:r w:rsidR="00750E9E">
        <w:t xml:space="preserve"> </w:t>
      </w:r>
      <w:r w:rsidRPr="00DA5DE2">
        <w:t>m, dł.</w:t>
      </w:r>
      <w:r w:rsidR="00750E9E">
        <w:t> </w:t>
      </w:r>
      <w:r w:rsidRPr="00DA5DE2">
        <w:t>11,00</w:t>
      </w:r>
      <w:r w:rsidR="00750E9E">
        <w:t xml:space="preserve"> </w:t>
      </w:r>
      <w:r w:rsidRPr="00DA5DE2">
        <w:t>m i szer.</w:t>
      </w:r>
      <w:r w:rsidR="00750E9E">
        <w:t xml:space="preserve"> </w:t>
      </w:r>
      <w:r w:rsidRPr="00DA5DE2">
        <w:t>5,80</w:t>
      </w:r>
      <w:r w:rsidR="00750E9E">
        <w:t xml:space="preserve"> </w:t>
      </w:r>
      <w:r w:rsidRPr="00DA5DE2">
        <w:t>m i dł. 5,60</w:t>
      </w:r>
      <w:r w:rsidR="00750E9E">
        <w:t xml:space="preserve"> </w:t>
      </w:r>
      <w:r w:rsidRPr="00DA5DE2">
        <w:t>m. Prace polegać będą na wymianie pokładów (pomost górny i dolny) z bali drewnianych na nowe. Ponadto planuje się wzmocnienie betonowych przyczółków mostków, po wcześniejszej rozbiórce uszkodzonego betonu. Wymienione na nowe zostaną również uszkodzone stalowe balustrady i belki oporowe. Powłoka malarska na belkach stalowych zostanie odnowiona. Drewno zostanie zaimpregnowane środkami ekologicznymi. W posiadaniu inwestora znajduje się dokumenta</w:t>
      </w:r>
      <w:r w:rsidR="00141BF0">
        <w:t>cja z przeglądów technicznych w</w:t>
      </w:r>
      <w:r w:rsidRPr="00DA5DE2">
        <w:t>w. mostów.</w:t>
      </w:r>
    </w:p>
    <w:p w:rsidR="00A83706" w:rsidRPr="00DA5DE2" w:rsidRDefault="00A83706" w:rsidP="00A83706">
      <w:pPr>
        <w:pStyle w:val="NormalnyWeb"/>
        <w:spacing w:line="270" w:lineRule="atLeast"/>
        <w:jc w:val="both"/>
      </w:pPr>
      <w:r w:rsidRPr="00DA5DE2">
        <w:t xml:space="preserve">Ponadto zakłada się częściowe utwardzenie, materiałami pochodzenia naturalnego (np. kruszywo kamienne) istniejącej drogi gminnej nr 111091 L Teptiuków-Gródek na długości ok. 600 m. </w:t>
      </w:r>
    </w:p>
    <w:p w:rsidR="00A83706" w:rsidRPr="00DA5DE2" w:rsidRDefault="00A83706" w:rsidP="00CE0C38">
      <w:pPr>
        <w:pStyle w:val="NormalnyWeb"/>
        <w:spacing w:after="0" w:afterAutospacing="0" w:line="270" w:lineRule="atLeast"/>
        <w:jc w:val="both"/>
      </w:pPr>
      <w:r w:rsidRPr="00DA5DE2">
        <w:t xml:space="preserve">Na skrzyżowaniu z dawnym odcinkiem drogi krajowej nr 74 (działka nr 158) z drogą gminną nr 111091 L (działka nr 257) w Teptiukowie planuje się ustawienie drewnianej tablicy kierunkowej informującej o kierunku dojazdu do ścieżki historyczno-przyrodniczej „Królewski Kąt” oraz grodziska w Gródku. Kolejna taka tablica zostanie ustawiona przy skrzyżowaniu z drogą wewnętrzną na działce nr 354 w Teptiukowie. Natomiast trzy tablice kierunkowe, ze wskazaniem dojazdu do ścieżki historyczno-przyrodniczej, są planowane do ustawienia w Czumowie: </w:t>
      </w:r>
    </w:p>
    <w:p w:rsidR="00A83706" w:rsidRPr="00DA5DE2" w:rsidRDefault="00A83706" w:rsidP="00CE0C38">
      <w:pPr>
        <w:pStyle w:val="NormalnyWeb"/>
        <w:spacing w:before="0" w:beforeAutospacing="0" w:after="0" w:afterAutospacing="0" w:line="270" w:lineRule="atLeast"/>
        <w:jc w:val="both"/>
      </w:pPr>
      <w:r w:rsidRPr="00DA5DE2">
        <w:t>- na działce nr 137 (droga wewnętrzna) przy skrzyżowaniu z drogą powiatowa nr 3432 L,</w:t>
      </w:r>
    </w:p>
    <w:p w:rsidR="00A83706" w:rsidRPr="00DA5DE2" w:rsidRDefault="00A83706" w:rsidP="00CE0C38">
      <w:pPr>
        <w:pStyle w:val="NormalnyWeb"/>
        <w:spacing w:before="0" w:beforeAutospacing="0" w:after="0" w:afterAutospacing="0" w:line="270" w:lineRule="atLeast"/>
        <w:jc w:val="both"/>
      </w:pPr>
      <w:r w:rsidRPr="00DA5DE2">
        <w:t>- na działce nr 96 (pas drogi granicznej) na skrzyżowaniu z drogą wewnętrzną położoną na działce nr 137,</w:t>
      </w:r>
    </w:p>
    <w:p w:rsidR="000750AD" w:rsidRDefault="00A83706" w:rsidP="00CE0C38">
      <w:pPr>
        <w:pStyle w:val="NormalnyWeb"/>
        <w:spacing w:before="0" w:beforeAutospacing="0" w:after="0" w:afterAutospacing="0" w:line="270" w:lineRule="atLeast"/>
        <w:jc w:val="both"/>
      </w:pPr>
      <w:r w:rsidRPr="00DA5DE2">
        <w:t>- na działce nr 96 (pas drogi granicznej) przy zakolu Bugu (naprzeciw działki nr 143).</w:t>
      </w:r>
    </w:p>
    <w:p w:rsidR="00B34EC1" w:rsidRDefault="00B34EC1" w:rsidP="00CE0C38">
      <w:pPr>
        <w:pStyle w:val="NormalnyWeb"/>
        <w:spacing w:before="0" w:beforeAutospacing="0" w:after="0" w:afterAutospacing="0" w:line="270" w:lineRule="atLeast"/>
        <w:jc w:val="both"/>
      </w:pPr>
    </w:p>
    <w:p w:rsidR="00A83706" w:rsidRPr="00DA5DE2" w:rsidRDefault="00A83706" w:rsidP="00A83706">
      <w:pPr>
        <w:pStyle w:val="NormalnyWeb"/>
        <w:spacing w:line="270" w:lineRule="atLeast"/>
        <w:jc w:val="both"/>
      </w:pPr>
      <w:r w:rsidRPr="00DA5DE2">
        <w:lastRenderedPageBreak/>
        <w:t>1.3.</w:t>
      </w:r>
      <w:r w:rsidRPr="00DA5DE2">
        <w:tab/>
        <w:t>Utworzenie punktu widokowego na grodzisku w Gródku.</w:t>
      </w:r>
    </w:p>
    <w:p w:rsidR="00A83706" w:rsidRPr="00DA5DE2" w:rsidRDefault="00A83706" w:rsidP="00A83706">
      <w:pPr>
        <w:pStyle w:val="NormalnyWeb"/>
        <w:spacing w:line="270" w:lineRule="atLeast"/>
        <w:jc w:val="both"/>
      </w:pPr>
      <w:r w:rsidRPr="00DA5DE2">
        <w:t xml:space="preserve">Planuje się zagospodarować turystycznie grodzisko </w:t>
      </w:r>
      <w:r w:rsidR="00750E9E">
        <w:t xml:space="preserve">w </w:t>
      </w:r>
      <w:r w:rsidRPr="00DA5DE2">
        <w:t>Gródku</w:t>
      </w:r>
      <w:r w:rsidR="00B22D99">
        <w:t xml:space="preserve"> (działka nr 55)</w:t>
      </w:r>
      <w:r w:rsidRPr="00DA5DE2">
        <w:t>, wpisane do rejestru zabytków województwa lubelskiego pod nr C/142, w sposób i stopniu nie wpływającym na pogorszenie zachowania obiektu. Obiekt ten położony jest na trasie kilku szlaków turystycznych. W ramach projektu planuje się wykonanie wejścia na grodzisko (koronę wału ziemnego) w miejscu obecnie wykorzystywanym do tego celu, poprzez wykonanie schodów drewnianych (lub kompozytowych) z barierką (lub poręczą). Schody powinny zostać wykonane poza grodziski</w:t>
      </w:r>
      <w:r w:rsidR="00AB6199">
        <w:t>em jako samodzielny element (</w:t>
      </w:r>
      <w:r w:rsidRPr="00DA5DE2">
        <w:t>np. z desek, żerdzi itp.) i nałożone na istniejącą ścieżkę, a następnie ustabilizowane w gruncie np. poprzez czopowanie lub palowanie, bez zbytniej ingerencji w grunt. Na kopule grodziska planuje się wyznaczenie punktu obserwacyjnego. W tym celu powinien zostać wykonany drewniany (</w:t>
      </w:r>
      <w:r w:rsidR="00606035">
        <w:t xml:space="preserve">lub </w:t>
      </w:r>
      <w:r w:rsidRPr="00DA5DE2">
        <w:t>ko</w:t>
      </w:r>
      <w:r w:rsidR="00DF667E">
        <w:t>m</w:t>
      </w:r>
      <w:r w:rsidRPr="00DA5DE2">
        <w:t xml:space="preserve">pozytowy) podest z relingiem (lub barierką), który zostanie ustawiony na koronie wałów grodziska. Na majdanie grodziska zostaną ustawione drewniane ławo-stoły z zadaszeniem w ilości 3 </w:t>
      </w:r>
      <w:proofErr w:type="spellStart"/>
      <w:r w:rsidRPr="00DA5DE2">
        <w:t>kpl</w:t>
      </w:r>
      <w:proofErr w:type="spellEnd"/>
      <w:r w:rsidRPr="00DA5DE2">
        <w:t>., które n</w:t>
      </w:r>
      <w:r w:rsidR="00750E9E">
        <w:t xml:space="preserve">ie będą związane </w:t>
      </w:r>
      <w:r w:rsidRPr="00DA5DE2">
        <w:t>trwale z gruntem (elementy przenośne). Natomiast u podnóża grodziska, w pobliżu wejścia, planuje się ustawienie stojaka na rowery. Ponadto, w ramach projektu planowana jest wymiana dwóch tablic ustawionych obecnie u podnóża grodziska. Jedna z nich stanowi tablicę urzędową, informującą o ochronie prawnej obiektu zabytkowego, a druga dotyczy informacji o użytku ekologicznym „Błonia Nadbużańskie”. Na jej konstrukcji dodatkowo możliwe będzie zamontowanie tablicy informującej o przyznanym dofinansowaniu, zgodnej z Zasadami promocji i oznakowania projektów w Programie Operacyjnym Infrastruktura i Środowisko 2014-2020.</w:t>
      </w:r>
    </w:p>
    <w:p w:rsidR="00A83706" w:rsidRPr="00DA5DE2" w:rsidRDefault="00A83706" w:rsidP="00A83706">
      <w:pPr>
        <w:pStyle w:val="NormalnyWeb"/>
        <w:spacing w:line="270" w:lineRule="atLeast"/>
        <w:jc w:val="both"/>
      </w:pPr>
      <w:r w:rsidRPr="00DA5DE2">
        <w:t>1.4.</w:t>
      </w:r>
      <w:r w:rsidRPr="00DA5DE2">
        <w:tab/>
        <w:t>Uzupełnienie elementów małej infrastruktury turystycznej.</w:t>
      </w:r>
    </w:p>
    <w:p w:rsidR="00A83706" w:rsidRPr="00DA5DE2" w:rsidRDefault="00A83706" w:rsidP="00A83706">
      <w:pPr>
        <w:pStyle w:val="NormalnyWeb"/>
        <w:spacing w:line="270" w:lineRule="atLeast"/>
        <w:jc w:val="both"/>
      </w:pPr>
      <w:r w:rsidRPr="00DA5DE2">
        <w:t>Planuje się zamontowanie stojaków na rowery, na placu istniejącego punkt</w:t>
      </w:r>
      <w:r w:rsidR="00750E9E">
        <w:t>u widokowego</w:t>
      </w:r>
      <w:r w:rsidRPr="00DA5DE2">
        <w:t xml:space="preserve"> na „Królewski Kąt” (działka nr 426/2) w Gródku.</w:t>
      </w:r>
    </w:p>
    <w:p w:rsidR="00A83706" w:rsidRPr="00DA5DE2" w:rsidRDefault="00A83706" w:rsidP="00A83706">
      <w:pPr>
        <w:pStyle w:val="NormalnyWeb"/>
        <w:spacing w:line="270" w:lineRule="atLeast"/>
        <w:jc w:val="both"/>
      </w:pPr>
      <w:r w:rsidRPr="00DA5DE2">
        <w:t xml:space="preserve">Natomiast na działce nr 196 w Czumowie (tzw. Lasek </w:t>
      </w:r>
      <w:proofErr w:type="spellStart"/>
      <w:r w:rsidRPr="00DA5DE2">
        <w:t>Czumowski</w:t>
      </w:r>
      <w:proofErr w:type="spellEnd"/>
      <w:r w:rsidRPr="00DA5DE2">
        <w:t>) zamierzamy ustawić stałe, drewniane, zadaszone wiaty dla turystów (30szt.), które pełnić będą rolę pawilonu wystawienniczego. W wiatach tych zostaną na stałe wyeksponowane plansze ze zdjęciami i opisami najcenniejszych gatunków i siedlisk występujących na obszarach Natura 2000, położonych na terenie Gminy Hrubieszów.</w:t>
      </w:r>
    </w:p>
    <w:p w:rsidR="00DA5DE2" w:rsidRPr="00DA5DE2" w:rsidRDefault="00A83706" w:rsidP="003B402E">
      <w:pPr>
        <w:pStyle w:val="NormalnyWeb"/>
        <w:spacing w:line="270" w:lineRule="atLeast"/>
        <w:jc w:val="both"/>
      </w:pPr>
      <w:r w:rsidRPr="00DA5DE2">
        <w:t>Dokumentacja projektowa powinna zostać wykonana zgodnie z zaleceniami Lubelskiego Wojewódzkiego Konserwatora Zabytków, zawartymi w piśmie znak IA.III.5183.3.1.2016 z dnia 28.06.2016 oraz deklaracją organu odpowiedzialnego za monitorowanie obszarów Natura 2000 znak WPN.6335.1094.2016.MPO z dnia 18 listopada 2016 r. i deklaracją właściwego organu odpowiedzialnego za gospodarkę wodną z dnia 25 listopada 2016 r.</w:t>
      </w:r>
      <w:r w:rsidR="00655139">
        <w:t xml:space="preserve"> Dokumenty te znajdują się w posiadaniu inwestora.</w:t>
      </w:r>
    </w:p>
    <w:p w:rsidR="00DA5DE2" w:rsidRPr="00E472DA" w:rsidRDefault="00DA5DE2" w:rsidP="003B402E">
      <w:pPr>
        <w:pStyle w:val="NormalnyWeb"/>
        <w:spacing w:line="270" w:lineRule="atLeast"/>
        <w:jc w:val="both"/>
        <w:rPr>
          <w:b/>
        </w:rPr>
      </w:pPr>
      <w:r w:rsidRPr="00E472DA">
        <w:rPr>
          <w:b/>
        </w:rPr>
        <w:t>Przedmiot zamówienia obejmuje wszystkie branże, nie przewiduje się składania ofert częściowych.</w:t>
      </w:r>
    </w:p>
    <w:p w:rsidR="003B402E" w:rsidRPr="00DA5DE2" w:rsidRDefault="003B402E" w:rsidP="003B402E">
      <w:pPr>
        <w:pStyle w:val="NormalnyWeb"/>
        <w:spacing w:line="270" w:lineRule="atLeast"/>
        <w:jc w:val="both"/>
      </w:pPr>
      <w:r w:rsidRPr="00DA5DE2">
        <w:lastRenderedPageBreak/>
        <w:t>Wykonawca zobowiązuje się do wykonania przedmiotu umowy zgodnie z zaleceniami Zamawiającego, zasadami współczesnej wiedzy technicznej i obowiązującymi w tym zakresie przepisami - m.in. Prawem budowlanym, Rozporządzeniem Ministra Infrastruktury z dnia</w:t>
      </w:r>
      <w:r w:rsidRPr="00DA5DE2">
        <w:br/>
        <w:t>2 września 2004</w:t>
      </w:r>
      <w:r w:rsidR="00145521">
        <w:t xml:space="preserve"> </w:t>
      </w:r>
      <w:r w:rsidRPr="00DA5DE2">
        <w:t>r. w sprawie szczególnego zakresu i formy dokumentacji projektowej, specyfikacji technicznych wykonania i odbioru robót budowlanych oraz programu funkcjonalno- użytkowego (Dz. U. Nr 202, poz. 2072 ze zm.), Rozporządzeniem Ministra Infrastruktury z dnia 18 maja 2004 r.</w:t>
      </w:r>
      <w:r w:rsidR="00145521">
        <w:t xml:space="preserve"> </w:t>
      </w:r>
      <w:r w:rsidRPr="00DA5DE2">
        <w:t xml:space="preserve">w sprawie określenia metod i podstaw sporządzania kosztorysu inwestorskiego, obliczenia planowanych kosztów prac projektowych oraz planowanych kosztów robót budowlanych określonych w programie funkcjonalno- użytkowym (Dz. U. Nr 130, poz. 1389) z zastrzeżeniem uwzględnienia wszelkich zmian obowiązujących w dniu składania wniosku o pozwolenie na budowę, z tym, że do opracowania kosztorysu inwestorskiego Wykonawca stosować będzie ceny jednostkowe robót określone na podstawie danych rynku lokalnego oraz czynniki cenotwórcze określone w aktualnej w okresie sporządzania informacji </w:t>
      </w:r>
      <w:proofErr w:type="spellStart"/>
      <w:r w:rsidRPr="00DA5DE2">
        <w:t>Sekocenbud</w:t>
      </w:r>
      <w:proofErr w:type="spellEnd"/>
      <w:r w:rsidRPr="00DA5DE2">
        <w:t>.</w:t>
      </w:r>
    </w:p>
    <w:p w:rsidR="003B402E" w:rsidRPr="00DA5DE2" w:rsidRDefault="003B402E" w:rsidP="003B402E">
      <w:pPr>
        <w:pStyle w:val="NormalnyWeb"/>
        <w:spacing w:before="0" w:beforeAutospacing="0" w:after="240" w:afterAutospacing="0" w:line="270" w:lineRule="atLeast"/>
        <w:jc w:val="both"/>
      </w:pPr>
      <w:r w:rsidRPr="00DF667E">
        <w:rPr>
          <w:b/>
        </w:rPr>
        <w:t>2.</w:t>
      </w:r>
      <w:r w:rsidRPr="00DA5DE2">
        <w:t xml:space="preserve"> Wykonawca zobowiązany jest do uzyskania kompletu uzgodnień i pozwoleń wymaganych przepisami szczególnymi oraz niezbędnych opinii, ocen, badań, ekspertyz, rozwiązań ewentualnych kolizji i inne niezbędne do prawidłowej realizacji robót i oddania obiektu do użytkowania.</w:t>
      </w:r>
    </w:p>
    <w:p w:rsidR="003B402E" w:rsidRPr="00DA5DE2" w:rsidRDefault="003B402E" w:rsidP="003B402E">
      <w:pPr>
        <w:pStyle w:val="NormalnyWeb"/>
        <w:spacing w:before="0" w:beforeAutospacing="0" w:after="0" w:afterAutospacing="0" w:line="270" w:lineRule="atLeast"/>
        <w:jc w:val="both"/>
      </w:pPr>
      <w:r w:rsidRPr="00DF667E">
        <w:rPr>
          <w:b/>
        </w:rPr>
        <w:t>3.</w:t>
      </w:r>
      <w:r w:rsidRPr="00DA5DE2">
        <w:t xml:space="preserve"> Wykonawca zobowiązany </w:t>
      </w:r>
      <w:r w:rsidR="00A83706" w:rsidRPr="00DA5DE2">
        <w:t>będzie</w:t>
      </w:r>
      <w:r w:rsidRPr="00DA5DE2">
        <w:t xml:space="preserve"> dostarczyć dokumentację projektową w zakresie i ilościach egzemplarzy j.n.:</w:t>
      </w:r>
    </w:p>
    <w:p w:rsidR="003B402E" w:rsidRPr="00DA5DE2" w:rsidRDefault="003B402E" w:rsidP="003B402E">
      <w:pPr>
        <w:pStyle w:val="NormalnyWeb"/>
        <w:spacing w:before="0" w:beforeAutospacing="0" w:after="0" w:afterAutospacing="0" w:line="270" w:lineRule="atLeast"/>
        <w:jc w:val="both"/>
      </w:pPr>
      <w:r w:rsidRPr="00DA5DE2">
        <w:t>3.1. Opracowanie projektu budowlano wykonawczego w ilości 4 egz.</w:t>
      </w:r>
    </w:p>
    <w:p w:rsidR="003B402E" w:rsidRPr="00DA5DE2" w:rsidRDefault="003B402E" w:rsidP="003B402E">
      <w:pPr>
        <w:pStyle w:val="NormalnyWeb"/>
        <w:spacing w:before="0" w:beforeAutospacing="0" w:after="0" w:afterAutospacing="0" w:line="270" w:lineRule="atLeast"/>
        <w:jc w:val="both"/>
      </w:pPr>
      <w:r w:rsidRPr="00DA5DE2">
        <w:t xml:space="preserve">3.2. Wykonanie kosztorysów inwestorskich opracowanych wg aktualnie obowiązujących przepisów wraz ze zbiorczym zestawieniem kosztów inwestycji - 1 </w:t>
      </w:r>
      <w:proofErr w:type="spellStart"/>
      <w:r w:rsidRPr="00DA5DE2">
        <w:t>kpl</w:t>
      </w:r>
      <w:proofErr w:type="spellEnd"/>
      <w:r w:rsidRPr="00DA5DE2">
        <w:t>.</w:t>
      </w:r>
    </w:p>
    <w:p w:rsidR="003B402E" w:rsidRPr="00DA5DE2" w:rsidRDefault="003B402E" w:rsidP="003B402E">
      <w:pPr>
        <w:pStyle w:val="NormalnyWeb"/>
        <w:spacing w:before="0" w:beforeAutospacing="0" w:after="0" w:afterAutospacing="0" w:line="270" w:lineRule="atLeast"/>
        <w:jc w:val="both"/>
      </w:pPr>
      <w:r w:rsidRPr="00DA5DE2">
        <w:t>3.3. Opracowanie specyfikacji technicznych wykonania i odbioru robót</w:t>
      </w:r>
      <w:r w:rsidR="00A83706" w:rsidRPr="00DA5DE2">
        <w:t xml:space="preserve"> budowlanych</w:t>
      </w:r>
      <w:r w:rsidRPr="00DA5DE2">
        <w:t xml:space="preserve"> - 2 egz.</w:t>
      </w:r>
    </w:p>
    <w:p w:rsidR="003B402E" w:rsidRPr="00DA5DE2" w:rsidRDefault="003B402E" w:rsidP="003B402E">
      <w:pPr>
        <w:pStyle w:val="NormalnyWeb"/>
        <w:spacing w:before="0" w:beforeAutospacing="0" w:after="0" w:afterAutospacing="0" w:line="270" w:lineRule="atLeast"/>
        <w:jc w:val="both"/>
      </w:pPr>
      <w:r w:rsidRPr="00DA5DE2">
        <w:t xml:space="preserve">3.1. Opracowanie przedmiaru robót - 1 </w:t>
      </w:r>
      <w:proofErr w:type="spellStart"/>
      <w:r w:rsidRPr="00DA5DE2">
        <w:t>kpl</w:t>
      </w:r>
      <w:proofErr w:type="spellEnd"/>
      <w:r w:rsidRPr="00DA5DE2">
        <w:t>.</w:t>
      </w:r>
    </w:p>
    <w:p w:rsidR="003B402E" w:rsidRPr="00DA5DE2" w:rsidRDefault="001A76B3" w:rsidP="003B402E">
      <w:pPr>
        <w:pStyle w:val="NormalnyWeb"/>
        <w:spacing w:before="0" w:beforeAutospacing="0" w:line="270" w:lineRule="atLeast"/>
        <w:jc w:val="both"/>
      </w:pPr>
      <w:r>
        <w:t>W/w opracowania (wyszczególnione w pkt. 3</w:t>
      </w:r>
      <w:r w:rsidR="003B402E" w:rsidRPr="00DA5DE2">
        <w:t>) należy przekazać Zamawiającemu również</w:t>
      </w:r>
      <w:r w:rsidR="003B402E" w:rsidRPr="00DA5DE2">
        <w:br/>
      </w:r>
      <w:r w:rsidR="00A83706" w:rsidRPr="00DA5DE2">
        <w:t>w formie elektronicznej w </w:t>
      </w:r>
      <w:r w:rsidR="003B402E" w:rsidRPr="00DA5DE2">
        <w:t>formacie pdf.</w:t>
      </w:r>
    </w:p>
    <w:p w:rsidR="003B402E" w:rsidRPr="00DA5DE2" w:rsidRDefault="003B402E" w:rsidP="003B402E">
      <w:pPr>
        <w:pStyle w:val="NormalnyWeb"/>
        <w:spacing w:line="270" w:lineRule="atLeast"/>
        <w:jc w:val="both"/>
      </w:pPr>
      <w:r w:rsidRPr="00DF667E">
        <w:rPr>
          <w:b/>
        </w:rPr>
        <w:t>4.</w:t>
      </w:r>
      <w:r w:rsidRPr="00DA5DE2">
        <w:t xml:space="preserve"> W przedmiot zamówienia wchodzi także:</w:t>
      </w:r>
    </w:p>
    <w:p w:rsidR="003B402E" w:rsidRPr="00DA5DE2" w:rsidRDefault="003B402E" w:rsidP="00A42C1E">
      <w:pPr>
        <w:pStyle w:val="NormalnyWeb"/>
        <w:spacing w:after="0" w:afterAutospacing="0" w:line="270" w:lineRule="atLeast"/>
        <w:jc w:val="both"/>
      </w:pPr>
      <w:r w:rsidRPr="00DA5DE2">
        <w:t xml:space="preserve">4.1. Udział i pomoc w czynnościach Zamawiającego w celu </w:t>
      </w:r>
      <w:r w:rsidR="00A42C1E" w:rsidRPr="00DA5DE2">
        <w:t xml:space="preserve">uzyskania wymaganych przepisami </w:t>
      </w:r>
      <w:r w:rsidRPr="00DA5DE2">
        <w:t>pozwoleń a</w:t>
      </w:r>
      <w:r w:rsidR="00A42C1E" w:rsidRPr="00DA5DE2">
        <w:t xml:space="preserve">dministracyjnych, w tym decyzji </w:t>
      </w:r>
      <w:r w:rsidRPr="00DA5DE2">
        <w:t>o pozwoleniu na budowę</w:t>
      </w:r>
      <w:r w:rsidR="00DA5DE2" w:rsidRPr="00DA5DE2">
        <w:t xml:space="preserve"> i zgłoszeń budowy</w:t>
      </w:r>
      <w:r w:rsidRPr="00DA5DE2">
        <w:t>.</w:t>
      </w:r>
    </w:p>
    <w:p w:rsidR="003B402E" w:rsidRPr="00DA5DE2" w:rsidRDefault="003B402E" w:rsidP="00A42C1E">
      <w:pPr>
        <w:pStyle w:val="NormalnyWeb"/>
        <w:spacing w:before="0" w:beforeAutospacing="0" w:line="270" w:lineRule="atLeast"/>
        <w:jc w:val="both"/>
      </w:pPr>
      <w:r w:rsidRPr="00DA5DE2">
        <w:t>4.3. Sprawowanie nadzoru autorskiego do czasu zakończenia realizacji inwestycji.</w:t>
      </w:r>
    </w:p>
    <w:p w:rsidR="003B402E" w:rsidRPr="00DA5DE2" w:rsidRDefault="003B402E" w:rsidP="003B402E">
      <w:pPr>
        <w:pStyle w:val="NormalnyWeb"/>
        <w:spacing w:line="270" w:lineRule="atLeast"/>
        <w:jc w:val="both"/>
      </w:pPr>
      <w:r w:rsidRPr="00DF667E">
        <w:rPr>
          <w:b/>
        </w:rPr>
        <w:t>5.</w:t>
      </w:r>
      <w:r w:rsidRPr="00DA5DE2">
        <w:t xml:space="preserve"> Obowiązki projektanta w trakcie realizacji zamówienia: Projektant zobowiązany</w:t>
      </w:r>
      <w:r w:rsidRPr="00DA5DE2">
        <w:br/>
        <w:t>jest do pisemnego uzgodnienia z inwestorem wstępnej fazy rozwiązań projektowych. Projektant wszelkie dodatkowe opracowania niezbędne do uzyskania wymaganych opinii</w:t>
      </w:r>
      <w:r w:rsidRPr="00DA5DE2">
        <w:br/>
        <w:t>i uzgodnień uzyska własnym staraniem i na swój koszt. Opracowana dokumentacja winna być wzajemnie skoordynowana technicznie i kompletna z punktu widzenia celu, któremu</w:t>
      </w:r>
      <w:r w:rsidRPr="00DA5DE2">
        <w:br/>
        <w:t>ma służyć. Dokumentacja musi zawierać wymagane potwierdzenia sprawdzeń rozwiązań projektowych, wymagane opinie, uzgodnienia, zgody i pozwolenia w zakresie wynikającym</w:t>
      </w:r>
      <w:r w:rsidRPr="00DA5DE2">
        <w:br/>
      </w:r>
      <w:r w:rsidRPr="00DA5DE2">
        <w:lastRenderedPageBreak/>
        <w:t>z przepisów. Dokumentacja posiadać będzie oświadczenie Projektanta, podpisane przez sprawdzających odpowiedzialnych za spełnienie tych wymagań i oświadczenie</w:t>
      </w:r>
      <w:r w:rsidRPr="00DA5DE2">
        <w:br/>
        <w:t>o kompletności. W opracowanej dokumentacji będą zastosow</w:t>
      </w:r>
      <w:r w:rsidR="00A42C1E" w:rsidRPr="00DA5DE2">
        <w:t xml:space="preserve">ane wyroby budowlane (materiały </w:t>
      </w:r>
      <w:r w:rsidRPr="00DA5DE2">
        <w:t>i urządzenia) dopuszczone do obrotu i powszechnie dostępne na rynku, uzgodnione</w:t>
      </w:r>
      <w:r w:rsidRPr="00DA5DE2">
        <w:br/>
        <w:t>z Zamawiającym na spotkaniach roboczych. Wykonawca złoży pisemne oświadczenie,</w:t>
      </w:r>
      <w:r w:rsidRPr="00DA5DE2">
        <w:br/>
        <w:t>że przedmiot umowy został wykonany zgodnie z niniejszą umową, obowiązującymi przepisami techniczno-budowlanymi oraz jest w stanie kompletnym z punktu widzenia celu, któremu ma służyć. Wykonawca złoży dodatkowo pisemne oświadczenie (zgodnie z treści</w:t>
      </w:r>
      <w:r w:rsidR="00A42C1E" w:rsidRPr="00DA5DE2">
        <w:t>ą art.20 ustawy Prawo budowlane</w:t>
      </w:r>
      <w:r w:rsidRPr="00DA5DE2">
        <w:t>) podpisane przez Wykonawcę oraz osoby sprawdzające, o których mowa w art.20 ust.2 ww. ustawy.</w:t>
      </w:r>
    </w:p>
    <w:p w:rsidR="003B402E" w:rsidRPr="00DA5DE2" w:rsidRDefault="00A42C1E" w:rsidP="003B402E">
      <w:pPr>
        <w:pStyle w:val="NormalnyWeb"/>
        <w:spacing w:line="270" w:lineRule="atLeast"/>
        <w:jc w:val="both"/>
      </w:pPr>
      <w:r w:rsidRPr="00DF667E">
        <w:rPr>
          <w:b/>
        </w:rPr>
        <w:t>6</w:t>
      </w:r>
      <w:r w:rsidR="003B402E" w:rsidRPr="00DF667E">
        <w:rPr>
          <w:b/>
        </w:rPr>
        <w:t>.</w:t>
      </w:r>
      <w:r w:rsidR="003B402E" w:rsidRPr="00DA5DE2">
        <w:t xml:space="preserve"> Zamawiający zakazuje wprowadzania klauzul do dokumentacji projektowej i specyfikacji technicznej wykonania i odbioru robót budowlanych, które wskazywałyby znaki towarowe, patenty lub pochodzenie, chyba, że jest to uzasadnione specyfiką przedmiotu zamówienia lub nie można opisać przedmiotu zamówienia za pomocą dostatecznie dokładnych określeń, a wskazaniu takiemu towarzyszą wyrazy lub równoważne</w:t>
      </w:r>
      <w:r w:rsidRPr="00DA5DE2">
        <w:t>.</w:t>
      </w:r>
    </w:p>
    <w:p w:rsidR="00A37C58" w:rsidRPr="00DF667E" w:rsidRDefault="00DF667E" w:rsidP="00A42C1E">
      <w:pPr>
        <w:pStyle w:val="NormalnyWeb"/>
        <w:spacing w:line="270" w:lineRule="atLeast"/>
        <w:jc w:val="both"/>
      </w:pPr>
      <w:r w:rsidRPr="00DF667E">
        <w:t>7</w:t>
      </w:r>
      <w:r w:rsidR="00A37C58" w:rsidRPr="00DF667E">
        <w:t>. Jedynym kryterium oceny ofert jest najniższa cena.</w:t>
      </w:r>
    </w:p>
    <w:p w:rsidR="00A42C1E" w:rsidRPr="00DA5DE2" w:rsidRDefault="00DF667E" w:rsidP="00A42C1E">
      <w:pPr>
        <w:pStyle w:val="NormalnyWeb"/>
        <w:spacing w:line="270" w:lineRule="atLeast"/>
        <w:jc w:val="both"/>
      </w:pPr>
      <w:r w:rsidRPr="00DF667E">
        <w:t>8</w:t>
      </w:r>
      <w:r w:rsidR="003B402E" w:rsidRPr="00DF667E">
        <w:t>. Termin rea</w:t>
      </w:r>
      <w:r w:rsidRPr="00DF667E">
        <w:t>lizacji zamówienia</w:t>
      </w:r>
      <w:r w:rsidR="002855DC">
        <w:t>: do</w:t>
      </w:r>
      <w:r w:rsidR="00E300BC">
        <w:t xml:space="preserve"> 31</w:t>
      </w:r>
      <w:r w:rsidR="003E1A89">
        <w:t xml:space="preserve"> maja</w:t>
      </w:r>
      <w:r w:rsidR="00A42C1E" w:rsidRPr="00DF667E">
        <w:t xml:space="preserve"> 2017</w:t>
      </w:r>
      <w:r w:rsidR="003B402E" w:rsidRPr="00DF667E">
        <w:t xml:space="preserve"> r.</w:t>
      </w:r>
    </w:p>
    <w:p w:rsidR="003B402E" w:rsidRPr="00DA5DE2" w:rsidRDefault="00DF667E" w:rsidP="003B402E">
      <w:pPr>
        <w:pStyle w:val="NormalnyWeb"/>
        <w:spacing w:line="270" w:lineRule="atLeast"/>
        <w:jc w:val="both"/>
      </w:pPr>
      <w:r>
        <w:t>9</w:t>
      </w:r>
      <w:r w:rsidR="00A42C1E" w:rsidRPr="00DA5DE2">
        <w:t xml:space="preserve">. </w:t>
      </w:r>
      <w:r w:rsidR="003B402E" w:rsidRPr="00DA5DE2">
        <w:t xml:space="preserve">Termin składania ofert: </w:t>
      </w:r>
      <w:r w:rsidR="004063AE">
        <w:t>do 2</w:t>
      </w:r>
      <w:r w:rsidR="00A42C1E" w:rsidRPr="002855DC">
        <w:t xml:space="preserve"> </w:t>
      </w:r>
      <w:r w:rsidR="00E300BC">
        <w:t>marca</w:t>
      </w:r>
      <w:r w:rsidR="00A42C1E" w:rsidRPr="002855DC">
        <w:t xml:space="preserve"> 2017</w:t>
      </w:r>
      <w:r w:rsidR="002855DC" w:rsidRPr="002855DC">
        <w:t xml:space="preserve"> r. do </w:t>
      </w:r>
      <w:r w:rsidR="003B402E" w:rsidRPr="002855DC">
        <w:t>godz. 9:00</w:t>
      </w:r>
    </w:p>
    <w:p w:rsidR="003B402E" w:rsidRPr="00DA5DE2" w:rsidRDefault="00DF667E" w:rsidP="003B402E">
      <w:pPr>
        <w:pStyle w:val="NormalnyWeb"/>
        <w:spacing w:line="270" w:lineRule="atLeast"/>
        <w:jc w:val="both"/>
      </w:pPr>
      <w:r>
        <w:t>10</w:t>
      </w:r>
      <w:r w:rsidR="00B977FA" w:rsidRPr="00DA5DE2">
        <w:t xml:space="preserve">. </w:t>
      </w:r>
      <w:r w:rsidR="003B402E" w:rsidRPr="00DA5DE2">
        <w:t xml:space="preserve">Miejsce składania ofert: Urząd Gminy </w:t>
      </w:r>
      <w:r w:rsidR="00B977FA" w:rsidRPr="00DA5DE2">
        <w:t>Hrubieszów</w:t>
      </w:r>
      <w:r w:rsidR="00E300BC">
        <w:t>, ul. B. Prusa 8, 22-500 Hrubieszów, pok. </w:t>
      </w:r>
      <w:r w:rsidR="00B977FA" w:rsidRPr="00DA5DE2">
        <w:t>Nr 15</w:t>
      </w:r>
      <w:r w:rsidR="0054799A">
        <w:t>.</w:t>
      </w:r>
    </w:p>
    <w:p w:rsidR="00B977FA" w:rsidRDefault="00DF667E" w:rsidP="003B402E">
      <w:pPr>
        <w:pStyle w:val="NormalnyWeb"/>
        <w:spacing w:line="270" w:lineRule="atLeast"/>
        <w:jc w:val="both"/>
      </w:pPr>
      <w:r>
        <w:t>11</w:t>
      </w:r>
      <w:r w:rsidR="00B977FA" w:rsidRPr="00DA5DE2">
        <w:t xml:space="preserve">. </w:t>
      </w:r>
      <w:r w:rsidR="003B402E" w:rsidRPr="00DA5DE2">
        <w:t>Forma składa</w:t>
      </w:r>
      <w:r w:rsidR="00B977FA" w:rsidRPr="00DA5DE2">
        <w:t>nia ofert: pisemna na formularzu</w:t>
      </w:r>
      <w:r w:rsidR="003B402E" w:rsidRPr="00DA5DE2">
        <w:t xml:space="preserve"> ofertowym zamieszczonym jako załącznik do niniejszego ogłoszenia</w:t>
      </w:r>
      <w:r w:rsidR="00E300BC">
        <w:t>.</w:t>
      </w:r>
    </w:p>
    <w:p w:rsidR="00E300BC" w:rsidRPr="00DA5DE2" w:rsidRDefault="00E300BC" w:rsidP="003B402E">
      <w:pPr>
        <w:pStyle w:val="NormalnyWeb"/>
        <w:spacing w:line="270" w:lineRule="atLeast"/>
        <w:jc w:val="both"/>
      </w:pPr>
    </w:p>
    <w:p w:rsidR="00E300BC" w:rsidRDefault="003B402E" w:rsidP="00E300BC">
      <w:pPr>
        <w:pStyle w:val="NormalnyWeb"/>
        <w:spacing w:line="270" w:lineRule="atLeast"/>
        <w:jc w:val="both"/>
      </w:pPr>
      <w:r w:rsidRPr="00DA5DE2">
        <w:t xml:space="preserve">Wybór oferty nastąpi zgodnie z Regulaminem </w:t>
      </w:r>
      <w:r w:rsidR="00B977FA" w:rsidRPr="00DA5DE2">
        <w:t xml:space="preserve">udzielania zamówień publicznych o wartości poniżej kwoty określonej w art. 4 pkt 8 ustawy – Prawo zamówień publicznych w trakcie realizacji projektu pod tytułem: „Zmniejszenie presji na gatunki i siedliska poprzez kanalizację </w:t>
      </w:r>
      <w:bookmarkStart w:id="0" w:name="_GoBack"/>
      <w:bookmarkEnd w:id="0"/>
      <w:r w:rsidR="00B977FA" w:rsidRPr="00DA5DE2">
        <w:t>ruchu turystycznego na obszarze Błoni Nadbużańskich” współfinansowanych ze środków Programu Operacyjnego Infrastruktura i Środowisko 2014-2020</w:t>
      </w:r>
      <w:r w:rsidRPr="00DA5DE2">
        <w:t xml:space="preserve">, wprowadzonym Zarządzeniem </w:t>
      </w:r>
      <w:r w:rsidR="004C0B87" w:rsidRPr="00DA5DE2">
        <w:t xml:space="preserve">Nr 2/2017 </w:t>
      </w:r>
      <w:r w:rsidRPr="00DA5DE2">
        <w:t xml:space="preserve">Wójta Gminy </w:t>
      </w:r>
      <w:r w:rsidR="004C0B87" w:rsidRPr="00DA5DE2">
        <w:t xml:space="preserve">Hrubieszów </w:t>
      </w:r>
      <w:r w:rsidRPr="00DA5DE2">
        <w:t xml:space="preserve">z dnia </w:t>
      </w:r>
      <w:r w:rsidR="004C0B87" w:rsidRPr="00DA5DE2">
        <w:t>9 stycznia 2017</w:t>
      </w:r>
      <w:r w:rsidRPr="00DA5DE2">
        <w:t xml:space="preserve"> r.</w:t>
      </w:r>
      <w:r w:rsidR="004C0B87" w:rsidRPr="00DA5DE2">
        <w:t>, zmienionym Zarządzeniem Nr 6/2017 Wójta Gminy Hrubieszów z dnia 27 stycznia 2017 r.</w:t>
      </w:r>
    </w:p>
    <w:p w:rsidR="003B402E" w:rsidRPr="00DA5DE2" w:rsidRDefault="003B402E" w:rsidP="00F94A79">
      <w:pPr>
        <w:pStyle w:val="NormalnyWeb"/>
        <w:spacing w:line="270" w:lineRule="atLeast"/>
        <w:ind w:left="4956" w:firstLine="708"/>
        <w:jc w:val="both"/>
      </w:pPr>
      <w:r w:rsidRPr="00DA5DE2">
        <w:t>ZAMAWIAJĄCY:</w:t>
      </w:r>
    </w:p>
    <w:p w:rsidR="00747139" w:rsidRDefault="00747139" w:rsidP="00747139">
      <w:pPr>
        <w:ind w:left="5387"/>
      </w:pPr>
      <w:r>
        <w:t>Wójt Gminy Hrubieszów</w:t>
      </w:r>
    </w:p>
    <w:p w:rsidR="00747139" w:rsidRDefault="00747139" w:rsidP="00747139">
      <w:pPr>
        <w:ind w:left="5387"/>
      </w:pPr>
    </w:p>
    <w:p w:rsidR="00EF176D" w:rsidRPr="00DA5DE2" w:rsidRDefault="00747139" w:rsidP="00747139">
      <w:pPr>
        <w:ind w:left="5387"/>
      </w:pPr>
      <w:r>
        <w:t xml:space="preserve">     /-/Jan </w:t>
      </w:r>
      <w:proofErr w:type="spellStart"/>
      <w:r>
        <w:t>Mołodecki</w:t>
      </w:r>
      <w:proofErr w:type="spellEnd"/>
    </w:p>
    <w:sectPr w:rsidR="00EF176D" w:rsidRPr="00DA5DE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F4A" w:rsidRDefault="00274F4A" w:rsidP="00274F4A">
      <w:r>
        <w:separator/>
      </w:r>
    </w:p>
  </w:endnote>
  <w:endnote w:type="continuationSeparator" w:id="0">
    <w:p w:rsidR="00274F4A" w:rsidRDefault="00274F4A" w:rsidP="0027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180860"/>
      <w:docPartObj>
        <w:docPartGallery w:val="Page Numbers (Bottom of Page)"/>
        <w:docPartUnique/>
      </w:docPartObj>
    </w:sdtPr>
    <w:sdtEndPr/>
    <w:sdtContent>
      <w:p w:rsidR="000750AD" w:rsidRDefault="000750AD">
        <w:pPr>
          <w:pStyle w:val="Stopka"/>
          <w:jc w:val="right"/>
        </w:pPr>
      </w:p>
      <w:tbl>
        <w:tblPr>
          <w:tblStyle w:val="Tabela-Siatka"/>
          <w:tblW w:w="924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3828"/>
          <w:gridCol w:w="1559"/>
          <w:gridCol w:w="3861"/>
        </w:tblGrid>
        <w:tr w:rsidR="000750AD" w:rsidRPr="000750AD" w:rsidTr="00A70A43">
          <w:trPr>
            <w:trHeight w:val="1135"/>
          </w:trPr>
          <w:tc>
            <w:tcPr>
              <w:tcW w:w="3828" w:type="dxa"/>
            </w:tcPr>
            <w:p w:rsidR="000750AD" w:rsidRPr="000750AD" w:rsidRDefault="000750AD" w:rsidP="000750AD">
              <w:pPr>
                <w:tabs>
                  <w:tab w:val="center" w:pos="3436"/>
                  <w:tab w:val="right" w:pos="9072"/>
                </w:tabs>
                <w:ind w:left="-250"/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</w:pPr>
              <w:r w:rsidRPr="000750AD">
                <w:rPr>
                  <w:rFonts w:asciiTheme="minorHAnsi" w:eastAsiaTheme="minorHAnsi" w:hAnsiTheme="minorHAnsi" w:cstheme="minorBidi"/>
                  <w:noProof/>
                  <w:sz w:val="22"/>
                  <w:szCs w:val="22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 wp14:anchorId="13CE498F" wp14:editId="6BE8C0CC">
                        <wp:simplePos x="0" y="0"/>
                        <wp:positionH relativeFrom="column">
                          <wp:posOffset>-21590</wp:posOffset>
                        </wp:positionH>
                        <wp:positionV relativeFrom="paragraph">
                          <wp:posOffset>81280</wp:posOffset>
                        </wp:positionV>
                        <wp:extent cx="5800725" cy="9525"/>
                        <wp:effectExtent l="0" t="0" r="28575" b="28575"/>
                        <wp:wrapNone/>
                        <wp:docPr id="9" name="Łącznik prosty 9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 flipV="1">
                                  <a:off x="0" y="0"/>
                                  <a:ext cx="5800725" cy="9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line w14:anchorId="38734858" id="Łącznik prosty 9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6.4pt" to="455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" strokecolor="windowText" strokeweight=".5pt">
                        <v:stroke joinstyle="miter"/>
                      </v:line>
                    </w:pict>
                  </mc:Fallback>
                </mc:AlternateContent>
              </w:r>
              <w:r w:rsidRPr="000750AD">
                <w:rPr>
                  <w:rFonts w:asciiTheme="minorHAnsi" w:eastAsiaTheme="minorHAnsi" w:hAnsiTheme="minorHAnsi" w:cstheme="minorBidi"/>
                  <w:noProof/>
                  <w:sz w:val="22"/>
                  <w:szCs w:val="22"/>
                </w:rPr>
                <w:drawing>
                  <wp:inline distT="0" distB="0" distL="0" distR="0" wp14:anchorId="5B3947BF" wp14:editId="3F824B1F">
                    <wp:extent cx="2219325" cy="978789"/>
                    <wp:effectExtent l="0" t="0" r="0" b="0"/>
                    <wp:docPr id="44" name="Obraz 4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3" name="logo_FE_Infrastruktura_i_Srodowisko_rgb-1.jpg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21053" cy="979551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559" w:type="dxa"/>
            </w:tcPr>
            <w:p w:rsidR="000750AD" w:rsidRPr="000750AD" w:rsidRDefault="000750AD" w:rsidP="000750AD">
              <w:pPr>
                <w:tabs>
                  <w:tab w:val="center" w:pos="4536"/>
                  <w:tab w:val="right" w:pos="9072"/>
                </w:tabs>
                <w:rPr>
                  <w:rFonts w:asciiTheme="minorHAnsi" w:eastAsiaTheme="minorHAnsi" w:hAnsiTheme="minorHAnsi" w:cstheme="minorBidi"/>
                  <w:noProof/>
                  <w:sz w:val="22"/>
                  <w:szCs w:val="22"/>
                </w:rPr>
              </w:pPr>
              <w:r w:rsidRPr="000750AD">
                <w:rPr>
                  <w:rFonts w:asciiTheme="minorHAnsi" w:eastAsiaTheme="minorHAnsi" w:hAnsiTheme="minorHAnsi" w:cstheme="minorBidi"/>
                  <w:noProof/>
                  <w:sz w:val="22"/>
                  <w:szCs w:val="22"/>
                </w:rPr>
                <w:t xml:space="preserve">        </w:t>
              </w:r>
            </w:p>
            <w:p w:rsidR="000750AD" w:rsidRPr="000750AD" w:rsidRDefault="000750AD" w:rsidP="000750AD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Theme="minorHAnsi" w:eastAsiaTheme="minorHAnsi" w:hAnsiTheme="minorHAnsi" w:cstheme="minorBidi"/>
                  <w:noProof/>
                  <w:sz w:val="22"/>
                  <w:szCs w:val="22"/>
                </w:rPr>
              </w:pPr>
            </w:p>
            <w:p w:rsidR="000750AD" w:rsidRPr="000750AD" w:rsidRDefault="000750AD" w:rsidP="000750AD">
              <w:pPr>
                <w:tabs>
                  <w:tab w:val="center" w:pos="4536"/>
                  <w:tab w:val="right" w:pos="9072"/>
                </w:tabs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</w:pPr>
              <w:r w:rsidRPr="000750AD">
                <w:rPr>
                  <w:rFonts w:asciiTheme="minorHAnsi" w:eastAsiaTheme="minorHAnsi" w:hAnsiTheme="minorHAnsi" w:cstheme="minorBidi"/>
                  <w:noProof/>
                  <w:sz w:val="22"/>
                  <w:szCs w:val="22"/>
                </w:rPr>
                <w:t xml:space="preserve">       </w:t>
              </w:r>
              <w:r w:rsidRPr="000750AD">
                <w:rPr>
                  <w:rFonts w:asciiTheme="minorHAnsi" w:eastAsiaTheme="minorHAnsi" w:hAnsiTheme="minorHAnsi" w:cstheme="minorBidi"/>
                  <w:noProof/>
                  <w:sz w:val="22"/>
                  <w:szCs w:val="22"/>
                </w:rPr>
                <w:drawing>
                  <wp:inline distT="0" distB="0" distL="0" distR="0" wp14:anchorId="0488AAD9" wp14:editId="0A0EFE5C">
                    <wp:extent cx="311521" cy="354965"/>
                    <wp:effectExtent l="0" t="0" r="0" b="6985"/>
                    <wp:docPr id="45" name="Obraz 4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herb_duze.jpg"/>
                            <pic:cNvPicPr/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7380" cy="38443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:rsidR="000750AD" w:rsidRPr="000750AD" w:rsidRDefault="000750AD" w:rsidP="000750AD">
              <w:pPr>
                <w:tabs>
                  <w:tab w:val="center" w:pos="4536"/>
                  <w:tab w:val="right" w:pos="9072"/>
                </w:tabs>
                <w:rPr>
                  <w:rFonts w:asciiTheme="minorHAnsi" w:eastAsiaTheme="minorHAnsi" w:hAnsiTheme="minorHAnsi" w:cstheme="minorBidi"/>
                  <w:sz w:val="16"/>
                  <w:szCs w:val="16"/>
                  <w:lang w:eastAsia="en-US"/>
                </w:rPr>
              </w:pPr>
              <w:r w:rsidRPr="000750AD">
                <w:rPr>
                  <w:rFonts w:asciiTheme="minorHAnsi" w:eastAsiaTheme="minorHAnsi" w:hAnsiTheme="minorHAnsi" w:cstheme="minorBidi"/>
                  <w:sz w:val="16"/>
                  <w:szCs w:val="16"/>
                  <w:lang w:eastAsia="en-US"/>
                </w:rPr>
                <w:t>Gmina Hrubieszów</w:t>
              </w:r>
            </w:p>
          </w:tc>
          <w:tc>
            <w:tcPr>
              <w:tcW w:w="3861" w:type="dxa"/>
            </w:tcPr>
            <w:p w:rsidR="000750AD" w:rsidRPr="000750AD" w:rsidRDefault="000750AD" w:rsidP="000750AD">
              <w:pPr>
                <w:tabs>
                  <w:tab w:val="center" w:pos="4536"/>
                  <w:tab w:val="right" w:pos="9072"/>
                </w:tabs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</w:pPr>
            </w:p>
            <w:p w:rsidR="000750AD" w:rsidRPr="000750AD" w:rsidRDefault="000750AD" w:rsidP="000750AD">
              <w:pPr>
                <w:tabs>
                  <w:tab w:val="center" w:pos="4536"/>
                  <w:tab w:val="right" w:pos="9072"/>
                </w:tabs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</w:pPr>
              <w:r w:rsidRPr="000750AD">
                <w:rPr>
                  <w:rFonts w:asciiTheme="minorHAnsi" w:eastAsiaTheme="minorHAnsi" w:hAnsiTheme="minorHAnsi" w:cstheme="minorBidi"/>
                  <w:noProof/>
                  <w:sz w:val="22"/>
                  <w:szCs w:val="22"/>
                </w:rPr>
                <w:drawing>
                  <wp:inline distT="0" distB="0" distL="0" distR="0" wp14:anchorId="7C40B362" wp14:editId="592EBDFF">
                    <wp:extent cx="2314575" cy="755015"/>
                    <wp:effectExtent l="0" t="0" r="9525" b="6985"/>
                    <wp:docPr id="46" name="Obraz 4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6" name="UE_FS_rgb-1.jpg"/>
                            <pic:cNvPicPr/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314575" cy="75501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F94A79" w:rsidRDefault="00F94A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139">
          <w:rPr>
            <w:noProof/>
          </w:rPr>
          <w:t>4</w:t>
        </w:r>
        <w:r>
          <w:fldChar w:fldCharType="end"/>
        </w:r>
      </w:p>
    </w:sdtContent>
  </w:sdt>
  <w:p w:rsidR="00274F4A" w:rsidRDefault="000750AD" w:rsidP="000750AD">
    <w:pPr>
      <w:pStyle w:val="Stopka"/>
      <w:tabs>
        <w:tab w:val="clear" w:pos="4536"/>
        <w:tab w:val="clear" w:pos="9072"/>
        <w:tab w:val="left" w:pos="13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F4A" w:rsidRDefault="00274F4A" w:rsidP="00274F4A">
      <w:r>
        <w:separator/>
      </w:r>
    </w:p>
  </w:footnote>
  <w:footnote w:type="continuationSeparator" w:id="0">
    <w:p w:rsidR="00274F4A" w:rsidRDefault="00274F4A" w:rsidP="00274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2E"/>
    <w:rsid w:val="000750AD"/>
    <w:rsid w:val="00141BF0"/>
    <w:rsid w:val="00145521"/>
    <w:rsid w:val="001967AC"/>
    <w:rsid w:val="001A76B3"/>
    <w:rsid w:val="001D1DA5"/>
    <w:rsid w:val="001E021C"/>
    <w:rsid w:val="00212D01"/>
    <w:rsid w:val="00274F4A"/>
    <w:rsid w:val="002855DC"/>
    <w:rsid w:val="003447F8"/>
    <w:rsid w:val="003B402E"/>
    <w:rsid w:val="003B6EBA"/>
    <w:rsid w:val="003D637A"/>
    <w:rsid w:val="003E1A89"/>
    <w:rsid w:val="004063AE"/>
    <w:rsid w:val="004C0B87"/>
    <w:rsid w:val="0054799A"/>
    <w:rsid w:val="00606035"/>
    <w:rsid w:val="00655139"/>
    <w:rsid w:val="00673AF3"/>
    <w:rsid w:val="006F7766"/>
    <w:rsid w:val="00747139"/>
    <w:rsid w:val="00750E9E"/>
    <w:rsid w:val="00773C91"/>
    <w:rsid w:val="00777F13"/>
    <w:rsid w:val="007D3182"/>
    <w:rsid w:val="0083761D"/>
    <w:rsid w:val="0085524F"/>
    <w:rsid w:val="00A37C58"/>
    <w:rsid w:val="00A42C1E"/>
    <w:rsid w:val="00A83706"/>
    <w:rsid w:val="00AB6199"/>
    <w:rsid w:val="00B06A11"/>
    <w:rsid w:val="00B152D7"/>
    <w:rsid w:val="00B22D99"/>
    <w:rsid w:val="00B34EC1"/>
    <w:rsid w:val="00B44410"/>
    <w:rsid w:val="00B977FA"/>
    <w:rsid w:val="00CE0C38"/>
    <w:rsid w:val="00DA5DE2"/>
    <w:rsid w:val="00DF667E"/>
    <w:rsid w:val="00E03677"/>
    <w:rsid w:val="00E300BC"/>
    <w:rsid w:val="00E33000"/>
    <w:rsid w:val="00E472DA"/>
    <w:rsid w:val="00E70955"/>
    <w:rsid w:val="00EF176D"/>
    <w:rsid w:val="00F94A79"/>
    <w:rsid w:val="00FC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B86EC-C0F8-496C-9325-2E7D8D1F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402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B402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4F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F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4F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F4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7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76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6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1837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PT. Tarasiuk</dc:creator>
  <cp:keywords/>
  <dc:description/>
  <cp:lastModifiedBy>Piotr PT. Tarasiuk</cp:lastModifiedBy>
  <cp:revision>8</cp:revision>
  <cp:lastPrinted>2017-02-09T07:03:00Z</cp:lastPrinted>
  <dcterms:created xsi:type="dcterms:W3CDTF">2017-02-21T08:57:00Z</dcterms:created>
  <dcterms:modified xsi:type="dcterms:W3CDTF">2017-02-22T10:48:00Z</dcterms:modified>
</cp:coreProperties>
</file>